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2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rstParagraph"/>
      </w:pPr>
    </w:p>
    <w:p>
      <w:pPr>
        <w:pStyle w:val="Heading1"/>
      </w:pPr>
      <w:bookmarkStart w:id="21" w:name="abstract"/>
      <w:bookmarkEnd w:id="21"/>
      <w:r>
        <w:t xml:space="preserve">Abstract</w:t>
      </w:r>
    </w:p>
    <w:p>
      <w:pPr>
        <w:pStyle w:val="FirstParagraph"/>
      </w:pPr>
      <w:r>
        <w:t xml:space="preserve">Alzheimers disease is terrible.</w:t>
      </w:r>
    </w:p>
    <w:p>
      <w:pPr>
        <w:pStyle w:val="BodyText"/>
      </w:pPr>
    </w:p>
    <w:p>
      <w:pPr>
        <w:pStyle w:val="Heading1"/>
      </w:pPr>
      <w:bookmarkStart w:id="22" w:name="introduction"/>
      <w:bookmarkEnd w:id="22"/>
      <w:r>
        <w:t xml:space="preserve">Introduction</w:t>
      </w:r>
    </w:p>
    <w:p>
      <w:pPr>
        <w:pStyle w:val="FirstParagraph"/>
      </w:pPr>
      <w:r>
        <w:t xml:space="preserve">Something about AD...</w:t>
      </w:r>
    </w:p>
    <w:p>
      <w:pPr>
        <w:pStyle w:val="Heading1"/>
      </w:pPr>
      <w:bookmarkStart w:id="23" w:name="materials-and-methods"/>
      <w:bookmarkEnd w:id="23"/>
      <w:r>
        <w:t xml:space="preserve">Materials and Methods</w:t>
      </w:r>
    </w:p>
    <w:p>
      <w:pPr>
        <w:pStyle w:val="Heading2"/>
      </w:pPr>
      <w:bookmarkStart w:id="24" w:name="imaging"/>
      <w:bookmarkEnd w:id="24"/>
      <w:r>
        <w:t xml:space="preserve">Imaging</w:t>
      </w:r>
    </w:p>
    <w:p>
      <w:pPr>
        <w:pStyle w:val="FirstParagraph"/>
      </w:pPr>
    </w:p>
    <w:p>
      <w:pPr>
        <w:pStyle w:val="BodyText"/>
      </w:pPr>
      <w:r>
        <w:t xml:space="preserve">An equation:</w:t>
      </w:r>
    </w:p>
    <w:p>
      <w:pPr>
        <w:pStyle w:val="BodyText"/>
      </w:pPr>
      <m:oMathPara>
        <m:oMathParaPr>
          <m:jc m:val="center"/>
        </m:oMathParaPr>
        <m:oMath>
          <m:sSub>
            <m:e>
              <m:r>
                <m:rPr/>
                <m:t>F</m:t>
              </m:r>
            </m:e>
            <m:sub>
              <m:r>
                <m:rPr/>
                <m:t>1</m:t>
              </m:r>
            </m:sub>
          </m:sSub>
          <m:r>
            <m:rPr/>
            <m:t>=</m:t>
          </m:r>
          <m:f>
            <m:fPr>
              <m:type m:val="bar"/>
            </m:fPr>
            <m:num>
              <m:r>
                <m:rPr/>
                <m:t>2</m:t>
              </m:r>
              <m:r>
                <m:rPr/>
                <m:t>⋅</m:t>
              </m:r>
              <m:r>
                <m:rPr/>
                <m:t>T</m:t>
              </m:r>
              <m:r>
                <m:rPr/>
                <m:t>P</m:t>
              </m:r>
            </m:num>
            <m:den>
              <m:r>
                <m:rPr/>
                <m:t>2</m:t>
              </m:r>
              <m:r>
                <m:rPr/>
                <m:t>⋅</m:t>
              </m:r>
              <m:r>
                <m:rPr/>
                <m:t>T</m:t>
              </m:r>
              <m:r>
                <m:rPr/>
                <m:t>P</m:t>
              </m:r>
              <m:r>
                <m:rPr/>
                <m:t>+</m:t>
              </m:r>
              <m:r>
                <m:rPr/>
                <m:t>F</m:t>
              </m:r>
              <m:r>
                <m:rPr/>
                <m:t>P</m:t>
              </m:r>
              <m:r>
                <m:rPr/>
                <m:t>+</m:t>
              </m:r>
              <m:r>
                <m:rPr/>
                <m:t>F</m:t>
              </m:r>
              <m:r>
                <m:rPr/>
                <m:t>N</m:t>
              </m:r>
            </m:den>
          </m:f>
          <m:r>
            <m:rPr/>
            <m:t>.</m:t>
          </m:r>
        </m:oMath>
      </m:oMathPara>
    </w:p>
    <w:p>
      <w:pPr>
        <w:pStyle w:val="FigureWithCaption"/>
      </w:pPr>
      <w:r>
        <w:drawing>
          <wp:inline>
            <wp:extent cx="5334000" cy="3047788"/>
            <wp:effectExtent b="0" l="0" r="0" t="0"/>
            <wp:docPr descr="" id="1" name="Picture"/>
            <a:graphic>
              <a:graphicData uri="http://schemas.openxmlformats.org/drawingml/2006/picture">
                <pic:pic>
                  <pic:nvPicPr>
                    <pic:cNvPr descr="../Figures/longitudinalPipelin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7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Oh, and here is an image of the longitudinal pipeline with a caption and a reference</w:t>
      </w:r>
      <w:r>
        <w:t xml:space="preserve"> </w:t>
      </w:r>
      <w:r>
        <w:t xml:space="preserve">to the KellyKapowski paper</w:t>
      </w:r>
      <w:r>
        <w:t xml:space="preserve"> </w:t>
      </w:r>
      <w:r>
        <w:t xml:space="preserve">[1]</w:t>
      </w:r>
      <w:r>
        <w:t xml:space="preserve">.</w:t>
      </w:r>
    </w:p>
    <w:p>
      <w:pPr>
        <w:pStyle w:val="BodyText"/>
      </w:pPr>
      <w:r>
        <w:t xml:space="preserve">Here is an example footnote.</w:t>
      </w:r>
      <w:r>
        <w:rPr>
          <w:rStyle w:val="FootnoteReference"/>
        </w:rPr>
        <w:footnoteReference w:id="26"/>
      </w:r>
    </w:p>
    <w:p>
      <w:pPr>
        <w:pStyle w:val="Heading1"/>
      </w:pPr>
      <w:bookmarkStart w:id="27" w:name="results"/>
      <w:bookmarkEnd w:id="27"/>
      <w:r>
        <w:t xml:space="preserve">Results</w:t>
      </w:r>
    </w:p>
    <w:p>
      <w:pPr>
        <w:pStyle w:val="Heading1"/>
      </w:pPr>
      <w:bookmarkStart w:id="28" w:name="discussion"/>
      <w:bookmarkEnd w:id="28"/>
      <w:r>
        <w:t xml:space="preserve">Discussion</w:t>
      </w:r>
    </w:p>
    <w:p>
      <w:pPr>
        <w:pStyle w:val="Heading2"/>
      </w:pPr>
      <w:bookmarkStart w:id="29" w:name="subsection-1"/>
      <w:bookmarkEnd w:id="29"/>
      <w:r>
        <w:t xml:space="preserve">Subsection 1</w:t>
      </w:r>
    </w:p>
    <w:p>
      <w:pPr>
        <w:pStyle w:val="FirstParagraph"/>
      </w:pPr>
      <w:r>
        <w:t xml:space="preserve">And a sweet equation:</w:t>
      </w:r>
    </w:p>
    <w:p>
      <w:pPr>
        <w:pStyle w:val="BodyText"/>
      </w:pPr>
      <m:oMathPara>
        <m:oMathParaPr>
          <m:jc m:val="center"/>
        </m:oMathParaPr>
        <m:oMath>
          <m:sSup>
            <m:e>
              <m:r>
                <m:rPr>
                  <m:sty m:val="p"/>
                </m:rPr>
                <m:t>exp</m:t>
              </m:r>
            </m:e>
            <m:sup>
              <m:r>
                <m:rPr/>
                <m:t>−</m:t>
              </m:r>
              <m:r>
                <m:rPr/>
                <m:t>i</m:t>
              </m:r>
              <m:r>
                <m:rPr/>
                <m:t>π</m:t>
              </m:r>
            </m:sup>
          </m:sSup>
          <m:r>
            <m:rPr/>
            <m:t>=</m:t>
          </m:r>
          <m:r>
            <m:rPr/>
            <m:t>−</m:t>
          </m:r>
          <m:r>
            <m:rPr/>
            <m:t>1</m:t>
          </m:r>
        </m:oMath>
      </m:oMathPara>
    </w:p>
    <w:p>
      <w:pPr>
        <w:pStyle w:val="BodyText"/>
      </w:pPr>
    </w:p>
    <w:p>
      <w:pPr>
        <w:pStyle w:val="Bibliography"/>
      </w:pPr>
      <w:r>
        <w:t xml:space="preserve">1. Tustison, N. J., Cook, P. A., Klein, A., Song, G., Das, S. R., Duda, J. T., Kandel, B. M., Strien, N. van, Stone, J. R., Gee, J. C., and Avants, B. B. “</w:t>
      </w:r>
      <w:r>
        <w:rPr>
          <w:b/>
        </w:rPr>
        <w:t xml:space="preserve">Large-Scale Evaluation of ANTs and FreeSurfer Cortical Thickness Measurements</w:t>
      </w:r>
      <w:r>
        <w:t xml:space="preserve">”</w:t>
      </w:r>
      <w:r>
        <w:t xml:space="preserve"> </w:t>
      </w:r>
      <w:r>
        <w:rPr>
          <w:i/>
        </w:rPr>
        <w:t xml:space="preserve">Neuroimage</w:t>
      </w:r>
      <w:r>
        <w:t xml:space="preserve"> </w:t>
      </w:r>
      <w:r>
        <w:t xml:space="preserve">99, (2014): 166–79. doi:</w:t>
      </w:r>
      <w:hyperlink r:id="rId30">
        <w:r>
          <w:rPr>
            <w:rStyle w:val="Hyperlink"/>
          </w:rPr>
          <w:t xml:space="preserve">10.1016/j.neuroimage.2014.05.044</w:t>
        </w:r>
      </w:hyperlink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  <w:footnote w:id="26">
    <w:p>
      <w:pPr>
        <w:pStyle w:val="FootnoteText"/>
      </w:pPr>
      <w:r>
        <w:rPr>
          <w:rStyle w:val="FootnoteReference"/>
        </w:rPr>
        <w:footnoteRef/>
      </w:r>
      <w:r>
        <w:t xml:space="preserve"> </w:t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8bd83c0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25" Target="media/rId25.png" /><Relationship Type="http://schemas.openxmlformats.org/officeDocument/2006/relationships/hyperlink" Id="rId30" Target="https://doi.org/10.1016/j.neuroimage.2014.05.044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30" Target="https://doi.org/10.1016/j.neuroimage.2014.05.044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</cp:coreProperties>
</file>